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15 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二〇二二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年奉新县本级政府性基金预算收入决算的说明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1、</w:t>
      </w:r>
      <w:r>
        <w:rPr>
          <w:rStyle w:val="4"/>
          <w:rFonts w:hint="eastAsia"/>
          <w:b w:val="0"/>
          <w:i w:val="0"/>
          <w:color w:val="000000"/>
        </w:rPr>
        <w:t>国有土地使用权出让收入</w:t>
      </w:r>
      <w:r>
        <w:rPr>
          <w:rStyle w:val="4"/>
          <w:rFonts w:hint="eastAsia"/>
          <w:b w:val="0"/>
          <w:i w:val="0"/>
          <w:color w:val="000000"/>
          <w:lang w:eastAsia="zh-CN"/>
        </w:rPr>
        <w:t>比上年</w:t>
      </w:r>
      <w:r>
        <w:rPr>
          <w:rStyle w:val="4"/>
          <w:rFonts w:hint="eastAsia" w:eastAsia="仿宋"/>
          <w:b w:val="0"/>
          <w:i w:val="0"/>
          <w:color w:val="000000"/>
          <w:lang w:eastAsia="zh-CN"/>
        </w:rPr>
        <w:t>增长</w:t>
      </w: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3.11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%，主要是土地成交量增加。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2、彩票公益金收入比上年</w:t>
      </w:r>
      <w:r>
        <w:rPr>
          <w:rStyle w:val="4"/>
          <w:rFonts w:hint="eastAsia" w:eastAsia="仿宋"/>
          <w:b w:val="0"/>
          <w:i w:val="0"/>
          <w:color w:val="000000"/>
          <w:lang w:eastAsia="zh-CN"/>
        </w:rPr>
        <w:t>增长</w:t>
      </w: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20.89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%，主要原因是</w:t>
      </w:r>
      <w:r>
        <w:rPr>
          <w:rStyle w:val="4"/>
          <w:rFonts w:hint="eastAsia" w:eastAsia="仿宋"/>
          <w:b w:val="0"/>
          <w:i w:val="0"/>
          <w:color w:val="000000"/>
          <w:lang w:eastAsia="zh-CN"/>
        </w:rPr>
        <w:t>经济复苏，</w:t>
      </w:r>
      <w:r>
        <w:rPr>
          <w:rStyle w:val="4"/>
          <w:b w:val="0"/>
          <w:i w:val="0"/>
          <w:color w:val="000000"/>
        </w:rPr>
        <w:t>彩票</w:t>
      </w:r>
      <w:r>
        <w:rPr>
          <w:rStyle w:val="4"/>
          <w:rFonts w:hint="eastAsia" w:eastAsia="仿宋"/>
          <w:b w:val="0"/>
          <w:i w:val="0"/>
          <w:color w:val="000000"/>
          <w:lang w:eastAsia="zh-CN"/>
        </w:rPr>
        <w:t>交易量上升导致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 w:eastAsia="仿宋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3、城市基础设施配套费收入比上年下降44.57%，主要是房屋报批面积减少导致</w:t>
      </w: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 w:eastAsia="仿宋"/>
          <w:b w:val="0"/>
          <w:i w:val="0"/>
          <w:color w:val="000000"/>
          <w:lang w:val="en-US" w:eastAsia="zh-CN"/>
        </w:rPr>
      </w:pP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</w:rPr>
        <w:t>专项债务对应项目专项收入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100%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，主要是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2022年无专项债务项目收入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</w:rPr>
        <w:t>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911E2"/>
    <w:rsid w:val="286B6EC5"/>
    <w:rsid w:val="4D5408BD"/>
    <w:rsid w:val="4E3B46F1"/>
    <w:rsid w:val="733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2023-11-15T03:05:00Z</cp:lastPrinted>
  <dcterms:modified xsi:type="dcterms:W3CDTF">2023-11-20T06:51:08Z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